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34" w:rsidRPr="002168BA" w:rsidRDefault="00555734" w:rsidP="00555734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color w:val="FF0000"/>
          <w:kern w:val="36"/>
          <w:sz w:val="44"/>
          <w:szCs w:val="32"/>
          <w:lang w:eastAsia="ru-RU"/>
        </w:rPr>
        <w:t>Прихована проблема - </w:t>
      </w:r>
      <w:proofErr w:type="gramStart"/>
      <w:r w:rsidRPr="002168BA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32"/>
          <w:lang w:eastAsia="ru-RU"/>
        </w:rPr>
        <w:t>ІНГ</w:t>
      </w:r>
    </w:p>
    <w:p w:rsidR="00555734" w:rsidRPr="002168BA" w:rsidRDefault="00555734" w:rsidP="00555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0" cy="8039100"/>
            <wp:effectExtent l="19050" t="0" r="0" b="0"/>
            <wp:docPr id="1" name="Рисунок 1" descr="/Files/images/2021/shho_take_buling-ckuvan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2021/shho_take_buling-ckuvann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2019 року вступили в силу норми закону «Про внесення змін до деяких законодавчих актів України щодо протидії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інгу (цькуванню)», який визначає поняття булінгу. Напередодні початку </w:t>
      </w: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нового навчального року, Міністерство юстиції України продовжує інформування в рамках кампанії #СтопБулінг.</w:t>
      </w:r>
    </w:p>
    <w:p w:rsidR="00555734" w:rsidRPr="002168BA" w:rsidRDefault="00555734" w:rsidP="00555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0" cy="3209925"/>
            <wp:effectExtent l="19050" t="0" r="0" b="0"/>
            <wp:docPr id="2" name="Рисунок 2" descr="/Files/images/2021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2021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інг (bullying, від анг. bully – хуліган, забіяка) (цькування) - це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могла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бути чи була заподіяна шкода психічному або фізичному здоров’ю потерпілого.</w:t>
      </w:r>
    </w:p>
    <w:p w:rsidR="00555734" w:rsidRPr="002168BA" w:rsidRDefault="00555734" w:rsidP="00555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0" cy="3209925"/>
            <wp:effectExtent l="19050" t="0" r="0" b="0"/>
            <wp:docPr id="3" name="Рисунок 3" descr="/Files/images/2021/im-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2021/im-Фото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Які ознаки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інгу?</w:t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Типовими ознаками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інгу є:</w:t>
      </w:r>
    </w:p>
    <w:p w:rsidR="00555734" w:rsidRPr="002168BA" w:rsidRDefault="00555734" w:rsidP="0055573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систематичність (повторюваність) діяння;</w:t>
      </w:r>
    </w:p>
    <w:p w:rsidR="00555734" w:rsidRPr="002168BA" w:rsidRDefault="00555734" w:rsidP="0055573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наявність сторін – кривдник (булер), потерпілий (жертва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інгу), спостерігачі;</w:t>
      </w:r>
    </w:p>
    <w:p w:rsidR="00555734" w:rsidRPr="002168BA" w:rsidRDefault="00555734" w:rsidP="00555734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наслідки у вигляді психічної та/або фізичної шкоди, приниження, страху, тривоги,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ідпорядкування потерпілого інтересам кривдника, та/або спричинення соціальної ізоляції потерпілого.</w:t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Які є види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інгу ?</w:t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Людину, яку вибрали жертвою, намагаються принизити, залякати, ізолювати від інших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ізними способами. Найпоширенішими видами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інґу є:</w:t>
      </w:r>
    </w:p>
    <w:p w:rsidR="00555734" w:rsidRPr="002168BA" w:rsidRDefault="00555734" w:rsidP="00555734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фізичний (штовхання,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ідніжки, зачіпання, бійки, стусани, ляпаси, нанесення тілесних пошкоджень);</w:t>
      </w:r>
    </w:p>
    <w:p w:rsidR="00555734" w:rsidRPr="002168BA" w:rsidRDefault="00555734" w:rsidP="00555734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психологічний (принизливі погляди, жести, образливі рухи тіла, мі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іка обличчя, поширення образливих чуток, ізоляція, ігнорування, погрози, жарти, маніпуляції, шантаж);</w:t>
      </w:r>
    </w:p>
    <w:p w:rsidR="00555734" w:rsidRPr="002168BA" w:rsidRDefault="00555734" w:rsidP="00555734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економічний (крадіжки, пошкодження чи знищення одягу та інших особистих речей, вимагання грошей);</w:t>
      </w:r>
    </w:p>
    <w:p w:rsidR="00555734" w:rsidRPr="002168BA" w:rsidRDefault="00555734" w:rsidP="00555734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сексуальний (принизливі погляди, жести, образливі рухи тіла,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ізвиська та образи сексуального характеру, зйомки у переодягальнях, поширення образливих чуток, сексуальні погрози, жарти);</w:t>
      </w:r>
    </w:p>
    <w:p w:rsidR="00555734" w:rsidRPr="002168BA" w:rsidRDefault="00555734" w:rsidP="00555734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кібербулінг (приниження за допомогою мобільних телефонів, Інтернету, інших електронних пристроїв).</w:t>
      </w:r>
    </w:p>
    <w:p w:rsidR="00555734" w:rsidRPr="002168BA" w:rsidRDefault="00555734" w:rsidP="00555734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5734" w:rsidRPr="002168BA" w:rsidRDefault="00555734" w:rsidP="00555734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4" name="Рисунок 4" descr="/Files/images/2021/52370793_2385104458442614_7203413853432971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2021/52370793_2385104458442614_720341385343297126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34" w:rsidRPr="002168BA" w:rsidRDefault="00555734" w:rsidP="002168BA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color w:val="FF0000"/>
          <w:kern w:val="36"/>
          <w:sz w:val="40"/>
          <w:szCs w:val="32"/>
          <w:lang w:eastAsia="ru-RU"/>
        </w:rPr>
        <w:t>Як ві</w:t>
      </w:r>
      <w:proofErr w:type="gramStart"/>
      <w:r w:rsidRPr="002168BA">
        <w:rPr>
          <w:rFonts w:ascii="Times New Roman" w:eastAsia="Times New Roman" w:hAnsi="Times New Roman" w:cs="Times New Roman"/>
          <w:color w:val="FF0000"/>
          <w:kern w:val="36"/>
          <w:sz w:val="40"/>
          <w:szCs w:val="32"/>
          <w:lang w:eastAsia="ru-RU"/>
        </w:rPr>
        <w:t>др</w:t>
      </w:r>
      <w:proofErr w:type="gramEnd"/>
      <w:r w:rsidRPr="002168BA">
        <w:rPr>
          <w:rFonts w:ascii="Times New Roman" w:eastAsia="Times New Roman" w:hAnsi="Times New Roman" w:cs="Times New Roman"/>
          <w:color w:val="FF0000"/>
          <w:kern w:val="36"/>
          <w:sz w:val="40"/>
          <w:szCs w:val="32"/>
          <w:lang w:eastAsia="ru-RU"/>
        </w:rPr>
        <w:t>ізнити звичайний конфлікт від булінгу?</w:t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Варто пам’ятати, що не кожен конфлікт є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інгом. Цькування - це тривалі, повторювані дії, а одинична сутичка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між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учасниками таким не може вважатися. Наприклад, якщо друзі посварилися та побилися чи діти разом весело штовхалися, але одна із них впала і забилася - це не вважається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інгом. Проте, якщо однолітки на чолі з булером регулярно насміхалися, принижували або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ховали та кидали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речі дитини, штовхали, не вперше нецензурно обзивали та били, викладали в соцмережі непристойні чи відфотошоплені знімки дитини – потрібно негайно діяти!</w:t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Що робити, якщо ваша дитина стала жертвою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інгу?</w:t>
      </w:r>
    </w:p>
    <w:p w:rsidR="00555734" w:rsidRPr="002168BA" w:rsidRDefault="00555734" w:rsidP="00555734">
      <w:pPr>
        <w:numPr>
          <w:ilvl w:val="0"/>
          <w:numId w:val="5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Зберігайте спокій, будьте терплячими, не потрібно тиснути на дитину.</w:t>
      </w:r>
    </w:p>
    <w:p w:rsidR="00555734" w:rsidRPr="002168BA" w:rsidRDefault="00555734" w:rsidP="00555734">
      <w:pPr>
        <w:numPr>
          <w:ilvl w:val="0"/>
          <w:numId w:val="6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Поговоріть з дитиною, дайте їй зрозуміти, що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ви не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звинувачуєте її в ситуації, що склалася, готові її вислухати і допомогти.</w:t>
      </w:r>
    </w:p>
    <w:p w:rsidR="00555734" w:rsidRPr="002168BA" w:rsidRDefault="00555734" w:rsidP="00555734">
      <w:pPr>
        <w:numPr>
          <w:ilvl w:val="0"/>
          <w:numId w:val="6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Запитайте, яка саме допомога може знадобитися дитині, запропонуйте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ій варіант вирішення ситуації.</w:t>
      </w:r>
    </w:p>
    <w:p w:rsidR="00555734" w:rsidRPr="002168BA" w:rsidRDefault="00555734" w:rsidP="00555734">
      <w:pPr>
        <w:numPr>
          <w:ilvl w:val="0"/>
          <w:numId w:val="6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Поясніть дитині, до кого вона може звернутися за допомогою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 цькування (психолог, вчителі, керівництво школи, старші учні, батьки інших дітей, охорона, поліція).</w:t>
      </w:r>
    </w:p>
    <w:p w:rsidR="00555734" w:rsidRPr="002168BA" w:rsidRDefault="00555734" w:rsidP="00555734">
      <w:pPr>
        <w:numPr>
          <w:ilvl w:val="0"/>
          <w:numId w:val="6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Повідомте керівництво навчального закладу про ситуацію, що склалася, і вимагайте належного її урегулювання.</w:t>
      </w:r>
    </w:p>
    <w:p w:rsidR="00555734" w:rsidRPr="002168BA" w:rsidRDefault="00555734" w:rsidP="00555734">
      <w:pPr>
        <w:numPr>
          <w:ilvl w:val="0"/>
          <w:numId w:val="6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ідтримайте дитину в налагодженні стосунків з однолітками та підготуйте її до того, що вирішення проблеми булінгу може потребувати певного часу.</w:t>
      </w:r>
    </w:p>
    <w:p w:rsidR="00555734" w:rsidRPr="002168BA" w:rsidRDefault="00555734" w:rsidP="00555734">
      <w:pPr>
        <w:spacing w:after="0" w:line="295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У разі, якщо вирішити ситуацію з </w:t>
      </w:r>
      <w:proofErr w:type="gramStart"/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інгом на рівні школи не вдається –</w:t>
      </w:r>
      <w:r w:rsidRPr="002168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повідомте поліцію!</w:t>
      </w:r>
    </w:p>
    <w:p w:rsidR="00555734" w:rsidRPr="002168BA" w:rsidRDefault="00555734" w:rsidP="00555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0" cy="4286250"/>
            <wp:effectExtent l="19050" t="0" r="0" b="0"/>
            <wp:docPr id="5" name="Рисунок 5" descr="/Files/images/2021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2021/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34" w:rsidRPr="002168BA" w:rsidRDefault="00555734" w:rsidP="00555734">
      <w:pPr>
        <w:spacing w:after="0" w:line="295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Що робити, якщо ви стали </w:t>
      </w:r>
      <w:proofErr w:type="gramStart"/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св</w:t>
      </w:r>
      <w:proofErr w:type="gramEnd"/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ідком булінгу?</w:t>
      </w:r>
    </w:p>
    <w:p w:rsidR="00555734" w:rsidRPr="002168BA" w:rsidRDefault="00555734" w:rsidP="00555734">
      <w:pPr>
        <w:numPr>
          <w:ilvl w:val="0"/>
          <w:numId w:val="7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Втрутитися і припинити цькування –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 не слід ігнорувати.</w:t>
      </w:r>
    </w:p>
    <w:p w:rsidR="00555734" w:rsidRPr="002168BA" w:rsidRDefault="00555734" w:rsidP="00555734">
      <w:pPr>
        <w:numPr>
          <w:ilvl w:val="0"/>
          <w:numId w:val="7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Зайняти нейтральну позицію в суперечці – обидві сторони конфлікту потребують допомоги.</w:t>
      </w:r>
    </w:p>
    <w:p w:rsidR="00555734" w:rsidRPr="002168BA" w:rsidRDefault="00555734" w:rsidP="00555734">
      <w:pPr>
        <w:numPr>
          <w:ilvl w:val="0"/>
          <w:numId w:val="7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Пояснити, які саме дії вважаєте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інгом і чому їх варто припинити.</w:t>
      </w:r>
    </w:p>
    <w:p w:rsidR="00555734" w:rsidRPr="002168BA" w:rsidRDefault="00555734" w:rsidP="00555734">
      <w:pPr>
        <w:numPr>
          <w:ilvl w:val="0"/>
          <w:numId w:val="7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Уникати в спілкуванні слів «жертва» та «агресор», аби запобігти тавруванню і розподілу ролей.</w:t>
      </w:r>
    </w:p>
    <w:p w:rsidR="00555734" w:rsidRPr="002168BA" w:rsidRDefault="00555734" w:rsidP="00555734">
      <w:pPr>
        <w:numPr>
          <w:ilvl w:val="0"/>
          <w:numId w:val="7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Повідомити керівництво навчального закладу про ситуацію, що склалася, і вимагати вжити заходів щодо припинення цькування.</w:t>
      </w:r>
    </w:p>
    <w:p w:rsidR="00555734" w:rsidRPr="002168BA" w:rsidRDefault="00555734" w:rsidP="00555734">
      <w:pPr>
        <w:spacing w:after="0" w:line="295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Ситуації з фізичним насильством потребують негайного втручання!</w:t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Що робити, якщо ваша дитина агресор?</w:t>
      </w:r>
    </w:p>
    <w:p w:rsidR="00555734" w:rsidRPr="002168BA" w:rsidRDefault="00555734" w:rsidP="00555734">
      <w:pPr>
        <w:numPr>
          <w:ilvl w:val="0"/>
          <w:numId w:val="8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Відверто поговоріть з дитиною про те, що відбувається, з’ясуйте мотивацію її поведінки.</w:t>
      </w:r>
    </w:p>
    <w:p w:rsidR="00555734" w:rsidRPr="002168BA" w:rsidRDefault="00555734" w:rsidP="00555734">
      <w:pPr>
        <w:numPr>
          <w:ilvl w:val="0"/>
          <w:numId w:val="8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Уважно вислухайте дитину, з повагою поставтеся до її слі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55734" w:rsidRPr="002168BA" w:rsidRDefault="00555734" w:rsidP="00555734">
      <w:pPr>
        <w:numPr>
          <w:ilvl w:val="0"/>
          <w:numId w:val="8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Поясніть дитині, що її дії можуть бути визнані насильством, за вчинення якого настає відповідальність.</w:t>
      </w:r>
    </w:p>
    <w:p w:rsidR="00555734" w:rsidRPr="002168BA" w:rsidRDefault="00555734" w:rsidP="00555734">
      <w:pPr>
        <w:numPr>
          <w:ilvl w:val="0"/>
          <w:numId w:val="8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Чітко і наполегливо попросіть дитину припинити таку поведінку, але не погрожуйте обмеженнями і покараннями. Повідомте їй, що будете спостерігати за її поведінкою.</w:t>
      </w:r>
    </w:p>
    <w:p w:rsidR="00555734" w:rsidRPr="002168BA" w:rsidRDefault="00555734" w:rsidP="00555734">
      <w:pPr>
        <w:numPr>
          <w:ilvl w:val="0"/>
          <w:numId w:val="8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Зверніться до шкільного психолога і проконсультуйтеся щодо поведінки своєї дитини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ід час занять – агресивна поведінка і прояви насильства можуть бути ознакою серйозних емоційних проблем.</w:t>
      </w:r>
    </w:p>
    <w:p w:rsidR="00555734" w:rsidRPr="002168BA" w:rsidRDefault="00555734" w:rsidP="00555734">
      <w:pPr>
        <w:spacing w:after="0" w:line="295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Яка роль відведена педагогічним працівникам у запобіганні та протидії </w:t>
      </w:r>
      <w:proofErr w:type="gramStart"/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інгу?</w:t>
      </w:r>
    </w:p>
    <w:p w:rsidR="00555734" w:rsidRPr="002168BA" w:rsidRDefault="00555734" w:rsidP="00555734">
      <w:pPr>
        <w:spacing w:after="0" w:line="295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Керівник закладу освіти зобов’язаний створити у закладі освіти безпечне освітнє середовище, вільне від насильства та </w:t>
      </w:r>
      <w:proofErr w:type="gramStart"/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інгу. Крім того, керівник:</w:t>
      </w:r>
    </w:p>
    <w:p w:rsidR="00555734" w:rsidRPr="002168BA" w:rsidRDefault="00555734" w:rsidP="00555734">
      <w:pPr>
        <w:numPr>
          <w:ilvl w:val="0"/>
          <w:numId w:val="9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розробля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є,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затверджує та оприлюднює план заходів, спрямованих на запобігання та протидію булінгу (цькуванню) в закладі освіти;</w:t>
      </w:r>
    </w:p>
    <w:p w:rsidR="00555734" w:rsidRPr="002168BA" w:rsidRDefault="00555734" w:rsidP="00555734">
      <w:pPr>
        <w:numPr>
          <w:ilvl w:val="0"/>
          <w:numId w:val="9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розглядає заяви про випадки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інгу (цькування) та видає рішення про проведення розслідування;</w:t>
      </w:r>
    </w:p>
    <w:p w:rsidR="00555734" w:rsidRPr="002168BA" w:rsidRDefault="00555734" w:rsidP="00555734">
      <w:pPr>
        <w:numPr>
          <w:ilvl w:val="0"/>
          <w:numId w:val="9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вживає відповідних заходів реагування;</w:t>
      </w:r>
    </w:p>
    <w:p w:rsidR="00555734" w:rsidRPr="002168BA" w:rsidRDefault="00555734" w:rsidP="00555734">
      <w:pPr>
        <w:numPr>
          <w:ilvl w:val="0"/>
          <w:numId w:val="9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забезпечує виконання заходів для надання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іальних та психолого-педагогічних послуг учням, які вчинили булінг, стали його свідками або постраждали від булінгу (цькування);</w:t>
      </w:r>
    </w:p>
    <w:p w:rsidR="00555734" w:rsidRPr="002168BA" w:rsidRDefault="00555734" w:rsidP="00555734">
      <w:pPr>
        <w:numPr>
          <w:ilvl w:val="0"/>
          <w:numId w:val="9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повідомляє органам Національної поліції України та службі у справах дітей про випадки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інгу (цькування) в закладі освіти.</w:t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Також Закон зобов’язує педагогічних працівників негайно повідомляти керівників закладів освіти про виявлені факти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інгу (цькування) серед школярів.</w:t>
      </w:r>
    </w:p>
    <w:p w:rsidR="00555734" w:rsidRPr="002168BA" w:rsidRDefault="00555734" w:rsidP="00555734">
      <w:pPr>
        <w:spacing w:after="0" w:line="295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Яка відповідальність за вчинення </w:t>
      </w:r>
      <w:proofErr w:type="gramStart"/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інгу?</w:t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прийняття змін до законів щодо протидії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інгу (цькуванню) відповідальності за його вчинення в Україні не існувало.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прийняттям нового закону було запроваджено адміністративну відповідальність. Відтепер вчинення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інгу (цькування) стосовно малолітньої чи неповнолітньої особи або такою особою стосовно інших учасників освітнього процесу карається штрафом від 850 до 1700 грн або громадськими роботами від 20 до 40 годин.</w:t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Такі діяння, вчинені повторно протягом року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ісля або групою осіб караються штрафом у розмірі від 1700 до 3400 грн або громадськими роботами на строк від 40 до 60 годин.</w:t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 разі вчинення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інгу (цькування) неповнолітніми до 16 років, відповідатимуть його батьки або особи, що їх заміняють. До них застосовуватимуть покарання у вигляді штрафу від 850 до 1700 грн або громадські роботи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строк від 20 до 40 годин.</w:t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Окремо передбачена відповідальність за приховування фактів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інгу (цькування). Якщо керівник закладу осві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ти не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повідомить органи Національної поліції України про відомі йому випадки цькування серед учнів, до нього буде застосоване покарання у вигляді штрафу від 850 до 1700 грн або виправних робіт до одного місяця з відрахуванням до 20 % заробітку.</w:t>
      </w:r>
    </w:p>
    <w:p w:rsidR="00555734" w:rsidRPr="002168BA" w:rsidRDefault="00555734" w:rsidP="00555734">
      <w:pPr>
        <w:spacing w:after="0" w:line="295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Куди звертатися за більш </w:t>
      </w:r>
      <w:proofErr w:type="gramStart"/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детальною</w:t>
      </w:r>
      <w:proofErr w:type="gramEnd"/>
      <w:r w:rsidRPr="002168B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консультацією та роз’ясненнями?</w:t>
      </w:r>
    </w:p>
    <w:p w:rsidR="00555734" w:rsidRPr="002168BA" w:rsidRDefault="00555734" w:rsidP="00555734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 у вас залишились питання з данного приводу, будь ласка, телефонуйте до контакт-центру системи безоплатної правової допомоги за номером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(800) 213 103, цілодобово та безкоштовно в межах України. В центрах та бюро надання безоплатної правової допомоги по </w:t>
      </w:r>
      <w:proofErr w:type="gramStart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вс</w:t>
      </w:r>
      <w:proofErr w:type="gramEnd"/>
      <w:r w:rsidRPr="002168BA">
        <w:rPr>
          <w:rFonts w:ascii="Times New Roman" w:eastAsia="Times New Roman" w:hAnsi="Times New Roman" w:cs="Times New Roman"/>
          <w:sz w:val="32"/>
          <w:szCs w:val="32"/>
          <w:lang w:eastAsia="ru-RU"/>
        </w:rPr>
        <w:t>ій Україні ви можете отримати юридичну консультацію та правовий захист.</w:t>
      </w:r>
    </w:p>
    <w:p w:rsidR="002168BA" w:rsidRDefault="002168BA" w:rsidP="00555734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2168BA" w:rsidRDefault="002168BA" w:rsidP="00555734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2168BA" w:rsidRDefault="002168BA" w:rsidP="00555734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555734" w:rsidRPr="002168BA" w:rsidRDefault="00555734" w:rsidP="00555734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ВАЖЛИВО: діти мають право безоплатно отримати послуги адвоката (складання заяв, представництво в суді).</w:t>
      </w:r>
    </w:p>
    <w:p w:rsidR="00555734" w:rsidRPr="002168BA" w:rsidRDefault="00555734" w:rsidP="00555734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2168BA">
        <w:rPr>
          <w:rFonts w:ascii="Times New Roman" w:eastAsia="Times New Roman" w:hAnsi="Times New Roman" w:cs="Times New Roman"/>
          <w:color w:val="17365D" w:themeColor="text2" w:themeShade="BF"/>
          <w:kern w:val="36"/>
          <w:sz w:val="32"/>
          <w:szCs w:val="32"/>
          <w:lang w:eastAsia="ru-RU"/>
        </w:rPr>
        <w:t>Якщо дитині необхідна психологічна допомога – зверніться на</w:t>
      </w:r>
      <w:r w:rsidR="002168BA">
        <w:rPr>
          <w:rFonts w:ascii="Times New Roman" w:eastAsia="Times New Roman" w:hAnsi="Times New Roman" w:cs="Times New Roman"/>
          <w:color w:val="17365D" w:themeColor="text2" w:themeShade="BF"/>
          <w:kern w:val="36"/>
          <w:sz w:val="32"/>
          <w:szCs w:val="32"/>
          <w:lang w:val="uk-UA" w:eastAsia="ru-RU"/>
        </w:rPr>
        <w:t xml:space="preserve"> </w:t>
      </w:r>
      <w:r w:rsidRPr="002168BA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  <w:t>Національну дитячу «гарячу лінію» для дітей та батьків </w:t>
      </w:r>
      <w:r w:rsidRPr="002168BA">
        <w:rPr>
          <w:rFonts w:ascii="Times New Roman" w:eastAsia="Times New Roman" w:hAnsi="Times New Roman" w:cs="Times New Roman"/>
          <w:color w:val="17365D" w:themeColor="text2" w:themeShade="BF"/>
          <w:kern w:val="36"/>
          <w:sz w:val="32"/>
          <w:szCs w:val="32"/>
          <w:lang w:eastAsia="ru-RU"/>
        </w:rPr>
        <w:t>з питань захисту прав дітей за номером </w:t>
      </w:r>
      <w:r w:rsidRPr="002168B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116-111.</w:t>
      </w:r>
    </w:p>
    <w:p w:rsidR="00A05B08" w:rsidRPr="002168BA" w:rsidRDefault="00A05B08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A05B08" w:rsidRPr="002168BA" w:rsidSect="00A0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F49"/>
    <w:multiLevelType w:val="multilevel"/>
    <w:tmpl w:val="8AAA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13824"/>
    <w:multiLevelType w:val="multilevel"/>
    <w:tmpl w:val="F502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63ACD"/>
    <w:multiLevelType w:val="multilevel"/>
    <w:tmpl w:val="135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A3DDF"/>
    <w:multiLevelType w:val="multilevel"/>
    <w:tmpl w:val="AF5A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47C7F"/>
    <w:multiLevelType w:val="multilevel"/>
    <w:tmpl w:val="E302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976F7"/>
    <w:multiLevelType w:val="multilevel"/>
    <w:tmpl w:val="5C4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84997"/>
    <w:multiLevelType w:val="multilevel"/>
    <w:tmpl w:val="AE1C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A0B99"/>
    <w:multiLevelType w:val="multilevel"/>
    <w:tmpl w:val="2022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34ED7"/>
    <w:multiLevelType w:val="multilevel"/>
    <w:tmpl w:val="C92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734"/>
    <w:rsid w:val="002168BA"/>
    <w:rsid w:val="00555734"/>
    <w:rsid w:val="00977BF8"/>
    <w:rsid w:val="009B371C"/>
    <w:rsid w:val="00A0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08"/>
  </w:style>
  <w:style w:type="paragraph" w:styleId="1">
    <w:name w:val="heading 1"/>
    <w:basedOn w:val="a"/>
    <w:link w:val="10"/>
    <w:uiPriority w:val="9"/>
    <w:qFormat/>
    <w:rsid w:val="00555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5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55734"/>
  </w:style>
  <w:style w:type="character" w:styleId="a3">
    <w:name w:val="Hyperlink"/>
    <w:basedOn w:val="a0"/>
    <w:uiPriority w:val="99"/>
    <w:semiHidden/>
    <w:unhideWhenUsed/>
    <w:rsid w:val="00555734"/>
    <w:rPr>
      <w:color w:val="0000FF"/>
      <w:u w:val="single"/>
    </w:rPr>
  </w:style>
  <w:style w:type="character" w:styleId="a4">
    <w:name w:val="Strong"/>
    <w:basedOn w:val="a0"/>
    <w:uiPriority w:val="22"/>
    <w:qFormat/>
    <w:rsid w:val="00555734"/>
    <w:rPr>
      <w:b/>
      <w:bCs/>
    </w:rPr>
  </w:style>
  <w:style w:type="paragraph" w:customStyle="1" w:styleId="wymcenter">
    <w:name w:val="wym_center"/>
    <w:basedOn w:val="a"/>
    <w:rsid w:val="0055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1110</Words>
  <Characters>6333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2023-03-29T11:44:00Z</dcterms:created>
  <dcterms:modified xsi:type="dcterms:W3CDTF">2023-04-05T10:38:00Z</dcterms:modified>
</cp:coreProperties>
</file>