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78" w:rsidRPr="007A1978" w:rsidRDefault="007A1978" w:rsidP="007A1978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7A1978">
        <w:rPr>
          <w:rFonts w:ascii="Times New Roman" w:hAnsi="Times New Roman" w:cs="Times New Roman"/>
          <w:sz w:val="32"/>
          <w:lang w:val="uk-UA"/>
        </w:rPr>
        <w:t>ЗАКЛАД  ДОШКІЛЬНОЇ ОСВІТИ (ЯСЛА – САДОК) КОМБІНОВАНОГО ТИПУ</w:t>
      </w:r>
    </w:p>
    <w:p w:rsidR="007A1978" w:rsidRPr="007A1978" w:rsidRDefault="007A1978" w:rsidP="007A1978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7A1978">
        <w:rPr>
          <w:rFonts w:ascii="Times New Roman" w:hAnsi="Times New Roman" w:cs="Times New Roman"/>
          <w:sz w:val="32"/>
          <w:lang w:val="uk-UA"/>
        </w:rPr>
        <w:t xml:space="preserve"> ПРАЦЮЄ ЗА  ОСВІТНЬОЮ ПРОГРАМОЮ ДЛЯ ДІТЕЙ ВІД 2 ДО 7 РОКІВ «ДИТИНА»</w:t>
      </w:r>
    </w:p>
    <w:p w:rsidR="007A1978" w:rsidRPr="007A1978" w:rsidRDefault="007A1978"/>
    <w:p w:rsidR="007A1978" w:rsidRDefault="007A1978" w:rsidP="007A19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1200" cy="2828925"/>
            <wp:effectExtent l="19050" t="0" r="0" b="0"/>
            <wp:docPr id="1" name="Рисунок 1" descr="Освітні програми | Заклад дошкільної освіти №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вітні програми | Заклад дошкільної освіти №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4F3" w:rsidRPr="003A24F3">
        <w:t xml:space="preserve"> </w:t>
      </w:r>
      <w:r w:rsidR="003A24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етодичні рекомендації до Освітньої програми для дітей від 2 до 7 років «Дитина» Оновлено 2021 р., фото 1" style="width:24pt;height:24pt"/>
        </w:pict>
      </w:r>
      <w:r w:rsidR="003A24F3" w:rsidRPr="003A24F3">
        <w:rPr>
          <w:noProof/>
          <w:lang w:eastAsia="ru-RU"/>
        </w:rPr>
        <w:t xml:space="preserve"> </w:t>
      </w:r>
      <w:r w:rsidR="003A24F3" w:rsidRPr="003A24F3">
        <w:drawing>
          <wp:inline distT="0" distB="0" distL="0" distR="0">
            <wp:extent cx="1838325" cy="1419225"/>
            <wp:effectExtent l="19050" t="0" r="9525" b="0"/>
            <wp:docPr id="3" name="Рисунок 3" descr="https://encrypted-tbn0.gstatic.com/images?q=tbn:ANd9GcTggOiVEwUHwHMZKpevHP3nasweIjGYyj5XojKdYhHiqNuSkcP57OEKzt9xroI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ggOiVEwUHwHMZKpevHP3nasweIjGYyj5XojKdYhHiqNuSkcP57OEKzt9xroI&amp;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78" w:rsidRPr="00713115" w:rsidRDefault="007A1978" w:rsidP="007A19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Зміст та структура програми </w:t>
      </w:r>
      <w:r w:rsidRPr="0071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“</w:t>
      </w:r>
      <w:r w:rsidRPr="0071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Дитина</w:t>
      </w:r>
      <w:r w:rsidRPr="0071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”</w:t>
      </w:r>
      <w:r w:rsidRPr="0071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Серед особливостей змісту освітньої програми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дітей від 2 до 7 років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Дитина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</w:r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-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гармонійний розвиток дитини, а не цілеспрямована підготовка до школи </w:t>
      </w:r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гармонійне поєднання традиційних та нетрадиційних форм роботи </w:t>
      </w:r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інтеграція різних видів діяльності.</w:t>
      </w:r>
    </w:p>
    <w:p w:rsidR="007A1978" w:rsidRPr="00436FA9" w:rsidRDefault="007A1978" w:rsidP="007A197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A1978" w:rsidRDefault="007A1978" w:rsidP="007A19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71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Варіативна та інваріантна складові програми</w:t>
      </w:r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Програма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“</w:t>
      </w:r>
      <w:proofErr w:type="spellStart"/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Дитина”</w:t>
      </w:r>
      <w:proofErr w:type="spellEnd"/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змістовно розподіляється на варіативну (вибіркову) та інваріантну (обов’язкову) частини. </w:t>
      </w:r>
    </w:p>
    <w:p w:rsidR="007A1978" w:rsidRDefault="007A1978" w:rsidP="007A19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7A1978" w:rsidRDefault="007A1978" w:rsidP="007A19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  <w:r w:rsidRPr="0071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До інваріантної входять такі розділи:</w:t>
      </w:r>
    </w:p>
    <w:p w:rsidR="007A1978" w:rsidRPr="00252B58" w:rsidRDefault="007A1978" w:rsidP="007A19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- 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Особистість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дитини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Мовлення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дитини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Дитина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соціумі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Гра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дитини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Дитина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природньому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довкіллі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Дитина у сенсорно-пізнавальному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просторі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У світі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культури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- 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Сім’я і дитячий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садок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 та  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Місточок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школи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Діти з особливими освітніми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потребами</w:t>
      </w:r>
      <w:r w:rsidRPr="00252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</w:p>
    <w:p w:rsidR="007A1978" w:rsidRPr="00252B58" w:rsidRDefault="007A1978" w:rsidP="007A19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 w:eastAsia="ru-RU"/>
        </w:rPr>
      </w:pPr>
    </w:p>
    <w:p w:rsidR="007A1978" w:rsidRPr="0042652E" w:rsidRDefault="007A1978" w:rsidP="007A19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426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Варіативна частина містить такі розділи: </w:t>
      </w:r>
    </w:p>
    <w:p w:rsidR="007A1978" w:rsidRPr="00713115" w:rsidRDefault="007A1978" w:rsidP="007A19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-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“</w:t>
      </w:r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Подор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ожуємо у світ англійської мови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Комп'ютерна грамота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Шахи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Хореографія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</w:t>
      </w:r>
    </w:p>
    <w:p w:rsidR="007A1978" w:rsidRPr="0042652E" w:rsidRDefault="007A1978" w:rsidP="007A19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7A1978" w:rsidRPr="00436FA9" w:rsidRDefault="007A1978" w:rsidP="007A19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У програмі </w:t>
      </w:r>
      <w:r w:rsidRPr="0071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Дитина</w:t>
      </w:r>
      <w:r w:rsidRPr="007131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 w:rsidRPr="00426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матеріал розподілено за такими віковими категоріями: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Крихітки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(третій рік життя) — перша молодша група </w:t>
      </w:r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-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Малята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(четвертий рік 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иття) — друга молодша група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Чомусики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(п’ятий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рік життя) — середня група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Фантазери-мрійники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(шости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й рік життя) — старша група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br/>
        <w:t xml:space="preserve">-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Дослідники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”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— сьомий рік життя.</w:t>
      </w:r>
    </w:p>
    <w:p w:rsidR="003A24F3" w:rsidRDefault="003A24F3" w:rsidP="007A1978">
      <w:pPr>
        <w:tabs>
          <w:tab w:val="left" w:pos="1380"/>
        </w:tabs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3A24F3" w:rsidTr="009E00F7">
        <w:tc>
          <w:tcPr>
            <w:tcW w:w="3227" w:type="dxa"/>
          </w:tcPr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b/>
                <w:color w:val="010301"/>
                <w:sz w:val="28"/>
                <w:szCs w:val="28"/>
                <w:lang w:val="uk-UA"/>
              </w:rPr>
            </w:pPr>
            <w:r w:rsidRPr="00D428EF">
              <w:rPr>
                <w:b/>
                <w:color w:val="010301"/>
                <w:sz w:val="28"/>
                <w:szCs w:val="28"/>
                <w:lang w:val="uk-UA"/>
              </w:rPr>
              <w:t>Освітня лінія</w:t>
            </w:r>
          </w:p>
        </w:tc>
        <w:tc>
          <w:tcPr>
            <w:tcW w:w="6344" w:type="dxa"/>
          </w:tcPr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b/>
                <w:color w:val="010301"/>
                <w:sz w:val="28"/>
                <w:szCs w:val="28"/>
                <w:lang w:val="uk-UA"/>
              </w:rPr>
            </w:pPr>
            <w:r w:rsidRPr="00D428EF">
              <w:rPr>
                <w:b/>
                <w:color w:val="010301"/>
                <w:sz w:val="28"/>
                <w:szCs w:val="28"/>
                <w:lang w:val="uk-UA"/>
              </w:rPr>
              <w:t>Зміст освітнього процесу</w:t>
            </w:r>
          </w:p>
        </w:tc>
      </w:tr>
      <w:tr w:rsidR="003A24F3" w:rsidTr="009E00F7">
        <w:tc>
          <w:tcPr>
            <w:tcW w:w="3227" w:type="dxa"/>
          </w:tcPr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color w:val="010301"/>
                <w:sz w:val="28"/>
                <w:szCs w:val="28"/>
              </w:rPr>
            </w:pP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Особистість</w:t>
            </w:r>
            <w:proofErr w:type="spellEnd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</w:p>
        </w:tc>
        <w:tc>
          <w:tcPr>
            <w:tcW w:w="6344" w:type="dxa"/>
          </w:tcPr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Передбача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:</w:t>
            </w:r>
            <w:proofErr w:type="gramEnd"/>
          </w:p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позитивного образу «Я»,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бази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особистісної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її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активної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;</w:t>
            </w:r>
          </w:p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позитивного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своєї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зовнішності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основних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фізичних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якостей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рухових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умінь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культурно-гігієнічних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оздоровчих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навичок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навичок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безпечної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кінець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періоду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життя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мають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бути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сформовані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базові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якості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довільність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самостійність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креативність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ініціативність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свобода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безпечність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самосвідомість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самоставлення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самооцінка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.</w:t>
            </w:r>
          </w:p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color w:val="010301"/>
                <w:sz w:val="28"/>
                <w:szCs w:val="28"/>
              </w:rPr>
            </w:pPr>
          </w:p>
        </w:tc>
      </w:tr>
      <w:tr w:rsidR="003A24F3" w:rsidTr="009E00F7">
        <w:tc>
          <w:tcPr>
            <w:tcW w:w="3227" w:type="dxa"/>
          </w:tcPr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color w:val="010301"/>
                <w:sz w:val="28"/>
                <w:szCs w:val="28"/>
              </w:rPr>
            </w:pP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Дитина</w:t>
            </w:r>
            <w:proofErr w:type="spellEnd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іумі</w:t>
            </w:r>
            <w:proofErr w:type="spellEnd"/>
          </w:p>
        </w:tc>
        <w:tc>
          <w:tcPr>
            <w:tcW w:w="6344" w:type="dxa"/>
          </w:tcPr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Передбача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:</w:t>
            </w:r>
            <w:proofErr w:type="gramEnd"/>
          </w:p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навичок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соц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іально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визнаної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вміння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орієнтуватись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світі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людських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взаємин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співпереживати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співчувати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іншим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Завдяки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спілкуванню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дорослими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носіями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суспільн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о-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історичного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досвіду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людства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з’являються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інтерес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вміння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розуміти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інших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долучатися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спільної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однолітками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дорослими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об’єднувати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ними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зусилля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досягнення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спільного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результату,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оцінювати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власні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поважати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бажання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інтереси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інших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людей.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Взаємодія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іншими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людьми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своє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ідним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видом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входження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людський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соціум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що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вимагає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уміння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узгоджувати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інтереси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бажання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іншими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членами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суспільства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.</w:t>
            </w:r>
          </w:p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color w:val="010301"/>
                <w:sz w:val="28"/>
                <w:szCs w:val="28"/>
              </w:rPr>
            </w:pPr>
          </w:p>
        </w:tc>
      </w:tr>
      <w:tr w:rsidR="003A24F3" w:rsidTr="009E00F7">
        <w:tc>
          <w:tcPr>
            <w:tcW w:w="3227" w:type="dxa"/>
          </w:tcPr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color w:val="010301"/>
                <w:sz w:val="28"/>
                <w:szCs w:val="28"/>
              </w:rPr>
            </w:pP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lastRenderedPageBreak/>
              <w:t>Дитина</w:t>
            </w:r>
            <w:proofErr w:type="spellEnd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 xml:space="preserve"> в природному </w:t>
            </w: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довкіллі</w:t>
            </w:r>
            <w:proofErr w:type="spellEnd"/>
          </w:p>
        </w:tc>
        <w:tc>
          <w:tcPr>
            <w:tcW w:w="6344" w:type="dxa"/>
          </w:tcPr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Передбача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:</w:t>
            </w:r>
            <w:proofErr w:type="gramEnd"/>
          </w:p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природничу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освіченість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уявлень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живі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організми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природне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середовище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багатоманітність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явищ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природи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причинно-наслідкові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зв’язки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природному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довкіллі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взаємозв’язок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природних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умов,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рослинного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тваринного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іту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позитивний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негативний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вплив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людської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на стан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природи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Ц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іннісне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природи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виявляється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її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природодоцільній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поведінці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виважене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рослин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тварин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готовність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включатись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практичну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що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пов’язана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природою;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дотримування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природокористування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.</w:t>
            </w:r>
          </w:p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Містить</w:t>
            </w:r>
            <w:proofErr w:type="spellEnd"/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доступні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віку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уявлення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про природу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планети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Земля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Всесвіт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емоційно-ціннісного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відповідального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природного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довкілля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.</w:t>
            </w:r>
          </w:p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color w:val="010301"/>
                <w:sz w:val="28"/>
                <w:szCs w:val="28"/>
              </w:rPr>
            </w:pPr>
          </w:p>
        </w:tc>
      </w:tr>
      <w:tr w:rsidR="003A24F3" w:rsidTr="009E00F7">
        <w:tc>
          <w:tcPr>
            <w:tcW w:w="3227" w:type="dxa"/>
          </w:tcPr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color w:val="010301"/>
                <w:sz w:val="28"/>
                <w:szCs w:val="28"/>
              </w:rPr>
            </w:pP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Мовлення</w:t>
            </w:r>
            <w:proofErr w:type="spellEnd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</w:p>
        </w:tc>
        <w:tc>
          <w:tcPr>
            <w:tcW w:w="6344" w:type="dxa"/>
          </w:tcPr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Передбача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:</w:t>
            </w:r>
            <w:proofErr w:type="gramEnd"/>
          </w:p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засвоєння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дитиною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мовлення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елементарних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мовою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ізних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життєвих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Оволодіння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мовою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засобом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ізнання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способом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специфічно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людського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найвагомішим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досягненням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Мова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виступає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«каналом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зв’язку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» для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одержання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немовних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сфер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буття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засобом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ізнання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світу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від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конкретно-чуттєвого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понятійно-абстрактного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Мовленнєве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духовно-емоційний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органічний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зв’язок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із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національним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вихованням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Мовленнєва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віку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складається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із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ізних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видів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lastRenderedPageBreak/>
              <w:t>говоріння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слухання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під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якої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формуються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мовленнєві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вміння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навички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Вивчення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мови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дошкільних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національних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спільнот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передбачає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інших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національностей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які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громадянами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України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оволодіння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українською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мовою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як державною на </w:t>
            </w:r>
            <w:proofErr w:type="spellStart"/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івні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вільного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іншими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дітьми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дорослими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інтересу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позитивного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мови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.</w:t>
            </w:r>
          </w:p>
        </w:tc>
      </w:tr>
      <w:tr w:rsidR="003A24F3" w:rsidTr="009E00F7">
        <w:tc>
          <w:tcPr>
            <w:tcW w:w="3227" w:type="dxa"/>
          </w:tcPr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color w:val="010301"/>
                <w:sz w:val="28"/>
                <w:szCs w:val="28"/>
              </w:rPr>
            </w:pP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lastRenderedPageBreak/>
              <w:t>Дитина</w:t>
            </w:r>
            <w:proofErr w:type="spellEnd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іті</w:t>
            </w:r>
            <w:proofErr w:type="spellEnd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</w:p>
        </w:tc>
        <w:tc>
          <w:tcPr>
            <w:tcW w:w="6344" w:type="dxa"/>
          </w:tcPr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Передбача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:</w:t>
            </w:r>
            <w:proofErr w:type="gramEnd"/>
          </w:p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почуття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краси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її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ізних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проявах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ціннісного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змісту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предметного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світу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світу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мистецтва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творчих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елементарних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трудових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технологічних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художньо-продуктивних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навичок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самостійності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безпеки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праці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Результатом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оволодіння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дитиною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різними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видами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предметної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художньої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сформоване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емоційно-ціннісне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процесу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творчої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позитивна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мотивація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орієнтуватися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розмаї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тт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властивостей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розуміти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різні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способи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художніх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образів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виявляти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інтерес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об’єктів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явищ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форм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художньо-продуктивної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також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оволодіння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навичками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практичної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споживання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.</w:t>
            </w:r>
          </w:p>
        </w:tc>
      </w:tr>
      <w:tr w:rsidR="003A24F3" w:rsidTr="009E00F7">
        <w:tc>
          <w:tcPr>
            <w:tcW w:w="3227" w:type="dxa"/>
          </w:tcPr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color w:val="010301"/>
                <w:sz w:val="28"/>
                <w:szCs w:val="28"/>
              </w:rPr>
            </w:pP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</w:p>
        </w:tc>
        <w:tc>
          <w:tcPr>
            <w:tcW w:w="6344" w:type="dxa"/>
          </w:tcPr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proofErr w:type="spell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Передбача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eastAsia="ru-RU"/>
              </w:rPr>
              <w:t>:</w:t>
            </w:r>
            <w:proofErr w:type="gramEnd"/>
          </w:p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</w:pPr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дітей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творчих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самостійності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ініціативності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організованості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ігровій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у них </w:t>
            </w:r>
            <w:proofErr w:type="spellStart"/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ійкого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інтересу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пізнання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довкілля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себе в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ньому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Гра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задоволення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ігрових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уподобань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кожної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дитини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сприяє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виникненню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дружніх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партнерських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стосункі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та</w:t>
            </w:r>
            <w:proofErr w:type="gram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ігрових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об’єднань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інтересами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спонукає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обміну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думками,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й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інших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заохочує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імпровізації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висловлювання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власних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оцінно-етичних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суджень</w:t>
            </w:r>
            <w:proofErr w:type="spellEnd"/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.</w:t>
            </w:r>
          </w:p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color w:val="010301"/>
                <w:sz w:val="28"/>
                <w:szCs w:val="28"/>
              </w:rPr>
            </w:pPr>
          </w:p>
        </w:tc>
      </w:tr>
      <w:tr w:rsidR="003A24F3" w:rsidRPr="003A24F3" w:rsidTr="009E00F7">
        <w:trPr>
          <w:trHeight w:val="2882"/>
        </w:trPr>
        <w:tc>
          <w:tcPr>
            <w:tcW w:w="3227" w:type="dxa"/>
          </w:tcPr>
          <w:p w:rsidR="003A24F3" w:rsidRPr="00D428EF" w:rsidRDefault="003A24F3" w:rsidP="009E00F7">
            <w:pPr>
              <w:pStyle w:val="a5"/>
              <w:spacing w:before="0" w:beforeAutospacing="0" w:after="150" w:afterAutospacing="0"/>
              <w:rPr>
                <w:color w:val="010301"/>
                <w:sz w:val="28"/>
                <w:szCs w:val="28"/>
                <w:lang w:val="uk-UA"/>
              </w:rPr>
            </w:pP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lastRenderedPageBreak/>
              <w:t>Дитина</w:t>
            </w:r>
            <w:proofErr w:type="spellEnd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сенсорно-пізнавальному</w:t>
            </w:r>
            <w:proofErr w:type="spellEnd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28EF">
              <w:rPr>
                <w:color w:val="010301"/>
                <w:sz w:val="28"/>
                <w:szCs w:val="28"/>
                <w:shd w:val="clear" w:color="auto" w:fill="FFFFFF"/>
              </w:rPr>
              <w:t>просторі</w:t>
            </w:r>
            <w:proofErr w:type="spellEnd"/>
          </w:p>
        </w:tc>
        <w:tc>
          <w:tcPr>
            <w:tcW w:w="6344" w:type="dxa"/>
          </w:tcPr>
          <w:p w:rsidR="003A24F3" w:rsidRPr="000B0D18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0B0D18">
              <w:rPr>
                <w:rFonts w:ascii="Times New Roman" w:eastAsia="Times New Roman" w:hAnsi="Times New Roman" w:cs="Times New Roman"/>
                <w:i/>
                <w:iCs/>
                <w:color w:val="010301"/>
                <w:sz w:val="28"/>
                <w:szCs w:val="28"/>
                <w:lang w:val="uk-UA" w:eastAsia="ru-RU"/>
              </w:rPr>
              <w:t>Передбачає:</w:t>
            </w:r>
          </w:p>
          <w:p w:rsidR="003A24F3" w:rsidRPr="00D428EF" w:rsidRDefault="003A24F3" w:rsidP="009E00F7">
            <w:pPr>
              <w:shd w:val="clear" w:color="auto" w:fill="FFFFFF"/>
              <w:spacing w:after="150"/>
              <w:ind w:firstLine="315"/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</w:pPr>
            <w:r w:rsidRPr="00D428EF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eastAsia="ru-RU"/>
              </w:rPr>
              <w:t> </w:t>
            </w:r>
            <w:r w:rsidRPr="000B0D18">
              <w:rPr>
                <w:rFonts w:ascii="Times New Roman" w:eastAsia="Times New Roman" w:hAnsi="Times New Roman" w:cs="Times New Roman"/>
                <w:color w:val="010301"/>
                <w:sz w:val="28"/>
                <w:szCs w:val="28"/>
                <w:lang w:val="uk-UA" w:eastAsia="ru-RU"/>
              </w:rPr>
              <w:t>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ситуаціях.</w:t>
            </w:r>
          </w:p>
        </w:tc>
      </w:tr>
    </w:tbl>
    <w:p w:rsidR="003A24F3" w:rsidRPr="00713115" w:rsidRDefault="003A24F3" w:rsidP="003A24F3">
      <w:pPr>
        <w:pStyle w:val="a5"/>
        <w:spacing w:before="0" w:beforeAutospacing="0" w:after="150" w:afterAutospacing="0"/>
        <w:rPr>
          <w:b/>
          <w:color w:val="010301"/>
          <w:sz w:val="28"/>
          <w:szCs w:val="28"/>
        </w:rPr>
      </w:pPr>
      <w:r>
        <w:rPr>
          <w:b/>
          <w:sz w:val="28"/>
          <w:szCs w:val="28"/>
          <w:lang w:val="uk-UA"/>
        </w:rPr>
        <w:t>2. Особи</w:t>
      </w:r>
      <w:r w:rsidRPr="00F46F61">
        <w:rPr>
          <w:b/>
          <w:sz w:val="28"/>
          <w:szCs w:val="28"/>
          <w:lang w:val="uk-UA"/>
        </w:rPr>
        <w:t>, які можуть розпочати навчання за освітньою програмою</w:t>
      </w:r>
      <w:r w:rsidRPr="00713115">
        <w:rPr>
          <w:b/>
          <w:sz w:val="28"/>
          <w:szCs w:val="28"/>
        </w:rPr>
        <w:t>:</w:t>
      </w:r>
    </w:p>
    <w:p w:rsidR="003A24F3" w:rsidRPr="00F04920" w:rsidRDefault="003A24F3" w:rsidP="00F049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Програма 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Дитина</w:t>
      </w:r>
      <w:r w:rsidRPr="007131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</w:t>
      </w:r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адресована працівникам закладів дошкільної освіти, методистам, батькам дошкільників, студентам педагогічних вишів, аспірантам та усім, хто цікавиться розвитком дітей дошкільного віку.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Програма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реалізує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базовий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компонент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ошкільної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використову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вати</w:t>
      </w:r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варто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дитячому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садку, а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 занять </w:t>
      </w:r>
      <w:proofErr w:type="spellStart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вдома</w:t>
      </w:r>
      <w:proofErr w:type="spellEnd"/>
      <w:r w:rsidRPr="00436F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A24F3" w:rsidRPr="00D428EF" w:rsidRDefault="003A24F3" w:rsidP="003A24F3">
      <w:pPr>
        <w:pStyle w:val="a5"/>
        <w:spacing w:before="0" w:beforeAutospacing="0" w:after="150" w:afterAutospacing="0"/>
        <w:rPr>
          <w:b/>
          <w:color w:val="010301"/>
          <w:sz w:val="28"/>
          <w:szCs w:val="28"/>
          <w:lang w:val="uk-UA"/>
        </w:rPr>
      </w:pPr>
      <w:r w:rsidRPr="00D428EF">
        <w:rPr>
          <w:b/>
          <w:sz w:val="28"/>
          <w:szCs w:val="28"/>
          <w:lang w:val="uk-UA"/>
        </w:rPr>
        <w:t xml:space="preserve">3. Загальний обсяг навчального навантаження </w:t>
      </w: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3A24F3" w:rsidTr="009E00F7">
        <w:tc>
          <w:tcPr>
            <w:tcW w:w="6771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2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Групові форми роботи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352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 w:rsidRPr="001352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занять на тиждень</w:t>
            </w:r>
          </w:p>
        </w:tc>
      </w:tr>
      <w:tr w:rsidR="003A24F3" w:rsidTr="009E00F7">
        <w:tc>
          <w:tcPr>
            <w:tcW w:w="6771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із соціумом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A24F3" w:rsidTr="009E00F7">
        <w:tc>
          <w:tcPr>
            <w:tcW w:w="6771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із природнім довкіллям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A24F3" w:rsidTr="009E00F7">
        <w:tc>
          <w:tcPr>
            <w:tcW w:w="6771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A24F3" w:rsidTr="009E00F7">
        <w:tc>
          <w:tcPr>
            <w:tcW w:w="6771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Сенсорний розвиток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A24F3" w:rsidTr="009E00F7">
        <w:tc>
          <w:tcPr>
            <w:tcW w:w="6771" w:type="dxa"/>
          </w:tcPr>
          <w:p w:rsidR="003A24F3" w:rsidRPr="0013527A" w:rsidRDefault="003A24F3" w:rsidP="009E00F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Логіко-математичний розвиток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A24F3" w:rsidTr="009E00F7">
        <w:tc>
          <w:tcPr>
            <w:tcW w:w="6771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культура мовленнєвого спілкування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A24F3" w:rsidTr="009E00F7">
        <w:trPr>
          <w:trHeight w:val="81"/>
        </w:trPr>
        <w:tc>
          <w:tcPr>
            <w:tcW w:w="6771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та фізичний розвиток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A24F3" w:rsidTr="009E00F7">
        <w:trPr>
          <w:trHeight w:val="78"/>
        </w:trPr>
        <w:tc>
          <w:tcPr>
            <w:tcW w:w="6771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занять на тиждень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A24F3" w:rsidTr="009E00F7">
        <w:trPr>
          <w:trHeight w:val="78"/>
        </w:trPr>
        <w:tc>
          <w:tcPr>
            <w:tcW w:w="6771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освітні послуги  за вибором батьків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A24F3" w:rsidTr="009E00F7">
        <w:trPr>
          <w:trHeight w:val="158"/>
        </w:trPr>
        <w:tc>
          <w:tcPr>
            <w:tcW w:w="6771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занять на тиждень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A24F3" w:rsidTr="009E00F7">
        <w:trPr>
          <w:trHeight w:val="157"/>
        </w:trPr>
        <w:tc>
          <w:tcPr>
            <w:tcW w:w="6771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2800" w:type="dxa"/>
          </w:tcPr>
          <w:p w:rsidR="003A24F3" w:rsidRPr="0013527A" w:rsidRDefault="003A24F3" w:rsidP="009E00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</w:tr>
    </w:tbl>
    <w:p w:rsidR="00673DA4" w:rsidRPr="003A24F3" w:rsidRDefault="00673DA4" w:rsidP="003A24F3">
      <w:pPr>
        <w:rPr>
          <w:lang w:val="uk-UA"/>
        </w:rPr>
      </w:pPr>
    </w:p>
    <w:sectPr w:rsidR="00673DA4" w:rsidRPr="003A24F3" w:rsidSect="0067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978"/>
    <w:rsid w:val="003A24F3"/>
    <w:rsid w:val="00673DA4"/>
    <w:rsid w:val="007A1978"/>
    <w:rsid w:val="00F0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9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2021-12-07T08:39:00Z</dcterms:created>
  <dcterms:modified xsi:type="dcterms:W3CDTF">2021-12-07T09:34:00Z</dcterms:modified>
</cp:coreProperties>
</file>