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1E" w:rsidRPr="000333F2" w:rsidRDefault="00D1191E" w:rsidP="00D1191E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</w:pPr>
      <w:r w:rsidRPr="000333F2"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  <w:t>РОЗВИТОК МОВЛЕННЯ ЗАСОБАМИ ІНТЕЛЕКТ-КАРТ</w:t>
      </w:r>
    </w:p>
    <w:p w:rsidR="00D1191E" w:rsidRDefault="00D1191E" w:rsidP="00D1191E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91E" w:rsidRDefault="00D1191E" w:rsidP="00D1191E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91E" w:rsidRPr="0031012E" w:rsidRDefault="00D1191E" w:rsidP="00D1191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Сучасна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педагогічна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наука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пропонує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візуалізовувати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отримання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знань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допомогою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ментальних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карт,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скетчі</w:t>
      </w:r>
      <w:proofErr w:type="gram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схем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таблиць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інші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грунтуються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візульних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прийомах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Візуальне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мислення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уміння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мислити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образами,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уміння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відображати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свої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чужі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наочно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малюнками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схемами,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таблицями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тощо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Візуальне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мислення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допомагає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краще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запам’ятовувати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образ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сприймати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краще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ніж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текст.</w:t>
      </w:r>
    </w:p>
    <w:p w:rsidR="00D1191E" w:rsidRPr="0031012E" w:rsidRDefault="00D1191E" w:rsidP="00D1191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Візуальне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мислення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дає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змогу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структурувати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знаходити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відображати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зв’язки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між</w:t>
      </w:r>
      <w:proofErr w:type="spellEnd"/>
      <w:proofErr w:type="gram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предметами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явищами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Візуальне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мислення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сприяє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розвитку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пам’яті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уваги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01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ОСОБЛИВОСТІ МЕТОДИКИ ЗАСТОСУВАННЯ </w:t>
      </w:r>
      <w:r w:rsidRPr="0031012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ІНТЕЛЕКТУАЛЬНИХ КАРТ </w:t>
      </w:r>
      <w:r w:rsidRPr="003101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 ЗАНЯТТЯХ</w:t>
      </w:r>
    </w:p>
    <w:p w:rsidR="00D1191E" w:rsidRPr="0031012E" w:rsidRDefault="00D1191E" w:rsidP="00D1191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задають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смисли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навчально-пізнавальній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будь-якого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виду. Особливо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смисловий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стрижень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об’єднуються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готуючись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як образ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багатоаспектного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явища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можете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тих,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подаємо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курсу.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Відтак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демонстраційний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роздатковий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майбутньої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використовуйте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191E" w:rsidRPr="0031012E" w:rsidRDefault="00D1191E" w:rsidP="00D119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картинки </w:t>
      </w: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літери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вирізані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образотворчі</w:t>
      </w:r>
      <w:proofErr w:type="spellEnd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роботи</w:t>
      </w:r>
      <w:proofErr w:type="spellEnd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надписи</w:t>
      </w: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зробили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символи-позначення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залучайте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карти-колажу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нетрадиційні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зображувальні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перетворюйте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карту-колаж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нагромадження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слів-картинок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смислову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цінність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в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думок.</w:t>
      </w:r>
    </w:p>
    <w:p w:rsidR="00D1191E" w:rsidRPr="0031012E" w:rsidRDefault="00D1191E" w:rsidP="00D119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початку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ключове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слово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поняття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191E" w:rsidRPr="0031012E" w:rsidRDefault="00D1191E" w:rsidP="00D1191E">
      <w:pPr>
        <w:numPr>
          <w:ilvl w:val="0"/>
          <w:numId w:val="2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нагадує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слово/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2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«дружить»;</w:t>
      </w:r>
    </w:p>
    <w:p w:rsidR="00D1191E" w:rsidRPr="0031012E" w:rsidRDefault="00D1191E" w:rsidP="00D1191E">
      <w:pPr>
        <w:numPr>
          <w:ilvl w:val="0"/>
          <w:numId w:val="2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слово/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Посередині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аркуша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ватману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теми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прикрі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символ-ілюстрацію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проведіть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гілки-лінії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згодом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з’являться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картинки, слова,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інтелектуальною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картою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виділяйте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складові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191E" w:rsidRPr="0031012E" w:rsidRDefault="00D1191E" w:rsidP="00D1191E">
      <w:pPr>
        <w:numPr>
          <w:ilvl w:val="0"/>
          <w:numId w:val="3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термінологічна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3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художньо-лексична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3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тілесно-орієнтована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Можете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запропонувати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1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Термінологічна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складова</w:t>
      </w:r>
      <w:proofErr w:type="spellEnd"/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термінологічної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зосередити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ключовому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Відтак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сформуйте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понятійне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смисли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ключового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Оберіть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варіантів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ключовими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поняттями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теми за картою:</w:t>
      </w:r>
    </w:p>
    <w:p w:rsidR="00D1191E" w:rsidRPr="0031012E" w:rsidRDefault="00D1191E" w:rsidP="00D1191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формування</w:t>
      </w:r>
      <w:proofErr w:type="spellEnd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базових</w:t>
      </w:r>
      <w:proofErr w:type="spellEnd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понять) за принципом «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квітка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асоціацій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цілісної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впродовж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робота </w:t>
      </w: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однією</w:t>
      </w:r>
      <w:proofErr w:type="spellEnd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ідеє</w:t>
      </w:r>
      <w:proofErr w:type="gram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ю-г</w:t>
      </w:r>
      <w:proofErr w:type="gramEnd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ілкою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потік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асоціацій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та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опрацювання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Упродовж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вибудовуйте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ійне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як-от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191E" w:rsidRPr="0031012E" w:rsidRDefault="00D1191E" w:rsidP="00D1191E">
      <w:pPr>
        <w:numPr>
          <w:ilvl w:val="0"/>
          <w:numId w:val="5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бесіда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5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полілог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5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запитання-відповідь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191E" w:rsidRPr="0031012E" w:rsidRDefault="00D1191E" w:rsidP="00D1191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намалювати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символічні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показати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пальчиками, </w:t>
      </w: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зобразити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жестами;</w:t>
      </w:r>
    </w:p>
    <w:p w:rsidR="00D1191E" w:rsidRPr="0031012E" w:rsidRDefault="00D1191E" w:rsidP="00D1191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знайти</w:t>
      </w:r>
      <w:proofErr w:type="spellEnd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Символічне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намалювати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намалювати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маленьких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аркушиках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символи-зображення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Відтак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обговоріть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оберіть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найліпше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відображають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смисл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створіть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карти-схеми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колажу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цілісну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ї-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гілок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остаточно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впорядковуйте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згодом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індивідуально-групової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15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Будьте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того,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запропонувати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логі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іркувань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заготовлену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доведеться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дещо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1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Художньо-лексична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складова</w:t>
      </w:r>
      <w:proofErr w:type="spellEnd"/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художньо-лексичної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/понять;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вправляти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складанні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словосполучень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висловлюванні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думок;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спонукати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літературних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творах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прийоми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191E" w:rsidRPr="0031012E" w:rsidRDefault="00D1191E" w:rsidP="00D1191E">
      <w:pPr>
        <w:numPr>
          <w:ilvl w:val="0"/>
          <w:numId w:val="7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розповідання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віршованих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прозових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творі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7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промовляння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чистомовок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віршів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коротких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тексті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ігор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7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загадування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відгадування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загадок;</w:t>
      </w:r>
    </w:p>
    <w:p w:rsidR="00D1191E" w:rsidRPr="0031012E" w:rsidRDefault="00D1191E" w:rsidP="00D1191E">
      <w:pPr>
        <w:numPr>
          <w:ilvl w:val="0"/>
          <w:numId w:val="7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лексико-граматичних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розгорнути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смислове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 на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якомога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ширшому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природа,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людських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взаємин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відношення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задіяти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уявлення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15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Рухова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тілесно-орієнтована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складова</w:t>
      </w:r>
      <w:proofErr w:type="spellEnd"/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тілесно-орієнтована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чітко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передбачити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будь-якій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ідтримувати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динаміку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пізнавальну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активність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емоційній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фон.</w:t>
      </w:r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Дошкільники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відчувають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 в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задовольнити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використовуйте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смислами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191E" w:rsidRPr="0031012E" w:rsidRDefault="00D1191E" w:rsidP="00D1191E">
      <w:pPr>
        <w:numPr>
          <w:ilvl w:val="0"/>
          <w:numId w:val="8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пальчикові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8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8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рухавки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фізкультхвилинки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8"/>
        </w:numPr>
        <w:shd w:val="clear" w:color="auto" w:fill="FFFFFF"/>
        <w:spacing w:after="10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рухливі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 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відобразити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</w:t>
      </w:r>
      <w:proofErr w:type="gram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смисл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теми у 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творчому</w:t>
      </w:r>
      <w:proofErr w:type="spellEnd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продукті</w:t>
      </w:r>
      <w:proofErr w:type="spellEnd"/>
    </w:p>
    <w:p w:rsidR="00D1191E" w:rsidRPr="0031012E" w:rsidRDefault="00D1191E" w:rsidP="00D1191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межах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теми ми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поступово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створюємо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 —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карту-колаж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Вона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ілюструвати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послідовність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комунікативно-мовленнєвої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E04110" w:rsidRDefault="00D1191E" w:rsidP="00D11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думку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Наталії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Гавриш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існують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певні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труднощі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щодо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визначення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приналежності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методу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застосування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інтелектуальних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 до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відомих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класифікацій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методів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191E" w:rsidRPr="00E04110" w:rsidRDefault="00D1191E" w:rsidP="00D11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одного боку, </w:t>
      </w:r>
      <w:proofErr w:type="spellStart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інтелектуальна</w:t>
      </w:r>
      <w:proofErr w:type="spellEnd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карта — </w:t>
      </w:r>
      <w:proofErr w:type="spellStart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proofErr w:type="spellEnd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наочний</w:t>
      </w:r>
      <w:proofErr w:type="spellEnd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засіб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Вона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візуально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представляє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дітям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взаємозв’язки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понять теми,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основні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логічні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блоки,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містить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малюнки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картинки.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Тож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застосування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цього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засобу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можна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класифікувати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як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наочний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метод.</w:t>
      </w:r>
    </w:p>
    <w:p w:rsidR="00D1191E" w:rsidRPr="00E04110" w:rsidRDefault="00D1191E" w:rsidP="00D11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другого боку,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інтелектуальні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складають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процесі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полілогу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діти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обмінюються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думками,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міркуваннями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висловлюють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пропозиції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варіанти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відповідей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Тобто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словесний</w:t>
      </w:r>
      <w:proofErr w:type="spellEnd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</w:t>
      </w:r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191E" w:rsidRPr="00E04110" w:rsidRDefault="00D1191E" w:rsidP="00D11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колективного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створення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інтелектуальної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діти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включаються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різні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малюють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розігрують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ситуації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виконують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предметними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картинками,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створюють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рухливі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тощо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Тож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практичний</w:t>
      </w:r>
      <w:proofErr w:type="spellEnd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</w:t>
      </w:r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Отже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метод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інтелектуальних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можна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віднести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класу</w:t>
      </w:r>
      <w:proofErr w:type="spellEnd"/>
      <w:r w:rsidRPr="00E04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комбінованих</w:t>
      </w:r>
      <w:proofErr w:type="spellEnd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методів</w:t>
      </w:r>
      <w:proofErr w:type="spellEnd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E0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ab/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карти-колажі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розробляють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унаочнюють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ізнавальний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смислові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послідовність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інтеграцію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межах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тематичного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циклу. Вони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презентують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ізноманітність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уподобань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креативність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творчість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карту-колаж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наочну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опору для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тематичного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циклу, 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подальшому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для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подібною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темою.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слугувати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засобом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розвитку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дошкільників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понять про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еталони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 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інтегрувати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види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дошкільникі</w:t>
      </w:r>
      <w:proofErr w:type="gram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D1191E" w:rsidRPr="0031012E" w:rsidRDefault="00D1191E" w:rsidP="00D1191E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Робота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інтелектуальними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картами —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інтеграції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старшого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дошкільного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глибше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осягнуть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зрозуміють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взаємозв’язки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явищ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довкілля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створюватимуть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вихователем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як продукт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межах теми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переваги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191E" w:rsidRPr="0031012E" w:rsidRDefault="00D1191E" w:rsidP="00D1191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розвиває</w:t>
      </w:r>
      <w:proofErr w:type="spellEnd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потенціал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спонукає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сприяє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іальному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активізує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міжособистісну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комунікацію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91E" w:rsidRPr="0031012E" w:rsidRDefault="00D1191E" w:rsidP="00D1191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сприяє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формуванню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лідерських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тематичного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циклу. Та 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самоціль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інструментом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 в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оригінальний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комунікативно-мовленнєву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унікальну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цінність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E04110" w:rsidRDefault="00D1191E" w:rsidP="00D1191E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вихователь-методист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завдяки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інтелектуальній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отримує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оцінити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дізнатися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сформованих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старших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дошкільників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компетентностей. Для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поспілкуватися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інтелектуальної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Робота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інтелектуальною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картою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відбуватися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названими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логічними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складовими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кожному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завжди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інтереси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вони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вирішують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якою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стежинкою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карти-схеми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прямувати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Відтак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вихователю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уваги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конкретної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вікової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насичувати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робочим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змістом</w:t>
      </w:r>
      <w:proofErr w:type="spellEnd"/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91E" w:rsidRPr="0031012E" w:rsidRDefault="00D1191E" w:rsidP="00D1191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Література</w:t>
      </w:r>
      <w:proofErr w:type="spellEnd"/>
    </w:p>
    <w:p w:rsidR="00D1191E" w:rsidRPr="0031012E" w:rsidRDefault="00D1191E" w:rsidP="00D1191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«Вихователь – методист дошкільного закладу», №8, серпень, 2018 р.,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 HYPERLINK "</w:instrText>
      </w:r>
      <w:r w:rsidRPr="00E041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>https://emetodyst.mcfr.ua/663187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separate"/>
      </w:r>
      <w:r w:rsidRPr="00695183"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ru-RU"/>
        </w:rPr>
        <w:t>https://emetodyst.mcfr.ua/663187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1191E" w:rsidRPr="00E04110" w:rsidRDefault="00D1191E" w:rsidP="00D1191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Гавриш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 В.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Інтегровані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 К. :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— 128с.</w:t>
      </w:r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ізнаємо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: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навчально-методичний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посібник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/ Н. В. 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Гавриш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І. Р. </w:t>
      </w:r>
      <w:proofErr w:type="spell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Кіндрат</w:t>
      </w:r>
      <w:proofErr w:type="spell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 Х.</w:t>
      </w:r>
      <w:proofErr w:type="gramStart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1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Ранок, 2013.</w:t>
      </w:r>
    </w:p>
    <w:p w:rsidR="00D1191E" w:rsidRPr="00E04110" w:rsidRDefault="00D1191E" w:rsidP="00D119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91E" w:rsidRDefault="00D1191E" w:rsidP="00D119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A7712" w:rsidRPr="00D1191E" w:rsidRDefault="002A7712">
      <w:pPr>
        <w:rPr>
          <w:lang w:val="uk-UA"/>
        </w:rPr>
      </w:pPr>
    </w:p>
    <w:sectPr w:rsidR="002A7712" w:rsidRPr="00D1191E" w:rsidSect="002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E8F"/>
    <w:multiLevelType w:val="multilevel"/>
    <w:tmpl w:val="A1D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F5784"/>
    <w:multiLevelType w:val="multilevel"/>
    <w:tmpl w:val="6716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D1F0A"/>
    <w:multiLevelType w:val="multilevel"/>
    <w:tmpl w:val="E0CC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34FC7"/>
    <w:multiLevelType w:val="multilevel"/>
    <w:tmpl w:val="871A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958B2"/>
    <w:multiLevelType w:val="multilevel"/>
    <w:tmpl w:val="BFF6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03E0B"/>
    <w:multiLevelType w:val="multilevel"/>
    <w:tmpl w:val="EBDC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B72C1"/>
    <w:multiLevelType w:val="multilevel"/>
    <w:tmpl w:val="3B74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A5144"/>
    <w:multiLevelType w:val="multilevel"/>
    <w:tmpl w:val="C560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F074D"/>
    <w:multiLevelType w:val="multilevel"/>
    <w:tmpl w:val="7A66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91E"/>
    <w:rsid w:val="002A7712"/>
    <w:rsid w:val="00D1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2020-07-07T10:04:00Z</dcterms:created>
  <dcterms:modified xsi:type="dcterms:W3CDTF">2020-07-07T10:05:00Z</dcterms:modified>
</cp:coreProperties>
</file>